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CAPACITACIONES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CONVOCATORIA: GENERACIÓN DE RECURSOS DIDÁCTICOS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BASES Y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La Fundación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Fundación Carlos Díaz Vélez es una organización sin fines de lucro que trabaja con el fin de promover la educación integral en el medio </w:t>
      </w:r>
      <w:r w:rsidDel="00000000" w:rsidR="00000000" w:rsidRPr="00000000">
        <w:rPr>
          <w:sz w:val="24"/>
          <w:szCs w:val="24"/>
          <w:rtl w:val="0"/>
        </w:rPr>
        <w:t xml:space="preserve">rural 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agropecuario en la República Argentina, </w:t>
      </w:r>
      <w:r w:rsidDel="00000000" w:rsidR="00000000" w:rsidRPr="00000000">
        <w:rPr>
          <w:sz w:val="24"/>
          <w:szCs w:val="24"/>
          <w:rtl w:val="0"/>
        </w:rPr>
        <w:t xml:space="preserve">facilitando la calidad de vida y el desarrollo personal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57426"/>
          <w:sz w:val="24"/>
          <w:szCs w:val="24"/>
          <w:rtl w:val="0"/>
        </w:rPr>
        <w:t xml:space="preserve">Objetivos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objetivo de esta convocatoria es apoyar con financiamiento el desarrollo o generación de recursos didácticos virtuales que apunten a mejorar la calidad de la educación rural y/o agropecuaria en nuestro país, así como también que incentiven el crecimiento y la formación </w:t>
      </w:r>
      <w:r w:rsidDel="00000000" w:rsidR="00000000" w:rsidRPr="00000000">
        <w:rPr>
          <w:sz w:val="24"/>
          <w:szCs w:val="24"/>
          <w:rtl w:val="0"/>
        </w:rPr>
        <w:t xml:space="preserve">continua de directivos/as de instituciones educativas, docentes, estudiantes, miembros y referentes de comunidades rurales.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Destinatarios de recursos didácticos </w:t>
      </w:r>
      <w:r w:rsidDel="00000000" w:rsidR="00000000" w:rsidRPr="00000000">
        <w:rPr>
          <w:b w:val="1"/>
          <w:bCs w:val="1"/>
          <w:color w:val="357426"/>
          <w:sz w:val="24"/>
          <w:szCs w:val="24"/>
          <w:rtl w:val="0"/>
        </w:rPr>
        <w:t xml:space="preserve">que se generen </w:t>
      </w:r>
      <w:r w:rsidDel="00000000" w:rsidR="00000000" w:rsidRPr="00000000">
        <w:rPr>
          <w:sz w:val="24"/>
          <w:szCs w:val="24"/>
          <w:rtl w:val="0"/>
        </w:rPr>
        <w:t xml:space="preserve">(no </w:t>
      </w:r>
      <w:r w:rsidDel="00000000" w:rsidR="00000000" w:rsidRPr="00000000">
        <w:rPr>
          <w:sz w:val="24"/>
          <w:szCs w:val="24"/>
          <w:rtl w:val="0"/>
        </w:rPr>
        <w:t xml:space="preserve">excluyente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Directivos/as, docentes y/o estudiantes de escuelas agropecuarias y rurales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Directivos/as, docentes y/o estudiantes de los institutos de formación docente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Miembros de comunidades rurales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Referentes de comuni</w:t>
      </w:r>
      <w:r w:rsidDel="00000000" w:rsidR="00000000" w:rsidRPr="00000000">
        <w:rPr>
          <w:sz w:val="24"/>
          <w:szCs w:val="24"/>
          <w:rtl w:val="0"/>
        </w:rPr>
        <w:t xml:space="preserve">dades rurales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sz w:val="24"/>
          <w:szCs w:val="24"/>
          <w:rtl w:val="0"/>
        </w:rPr>
        <w:t xml:space="preserve">entidades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presentadas han de poseer una cuenta bancaria a su nombre para la aplicación del monto asignado a nombre de la institución, obligatoriamente. Dicha entidad deberá estar representada por alguna persona de la misma (responsable), quien asuma el compromiso de acompañar y respaldar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sz w:val="24"/>
          <w:szCs w:val="24"/>
          <w:rtl w:val="0"/>
        </w:rPr>
        <w:t xml:space="preserve">elaboración de los Recursos Didácticos.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El/la </w:t>
      </w:r>
      <w:r w:rsidDel="00000000" w:rsidR="00000000" w:rsidRPr="00000000">
        <w:rPr>
          <w:sz w:val="24"/>
          <w:szCs w:val="24"/>
          <w:rtl w:val="0"/>
        </w:rPr>
        <w:t xml:space="preserve">responsable del proyecto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deberá comprometerse a mantener un contacto fluido con la Fundación de manera de articular esfuerzos para la mejor realización de</w:t>
      </w:r>
      <w:r w:rsidDel="00000000" w:rsidR="00000000" w:rsidRPr="00000000">
        <w:rPr>
          <w:sz w:val="24"/>
          <w:szCs w:val="24"/>
          <w:rtl w:val="0"/>
        </w:rPr>
        <w:t xml:space="preserve">l material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3574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3574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Alcance geográfico.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presente convocatoria podrán presentarse proyectos de tod</w:t>
      </w:r>
      <w:r w:rsidDel="00000000" w:rsidR="00000000" w:rsidRPr="00000000">
        <w:rPr>
          <w:sz w:val="24"/>
          <w:szCs w:val="24"/>
          <w:rtl w:val="0"/>
        </w:rPr>
        <w:t xml:space="preserve">o el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país.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Montos y condiciones.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proyectos seleccionados no podrán superar un monto </w:t>
      </w:r>
      <w:r w:rsidDel="00000000" w:rsidR="00000000" w:rsidRPr="00000000">
        <w:rPr>
          <w:sz w:val="24"/>
          <w:szCs w:val="24"/>
          <w:rtl w:val="0"/>
        </w:rPr>
        <w:t xml:space="preserve">máximo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$1.500.000 (pesos un millón quinientos mil)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totalidad de dicho financiamiento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utilizará única y exclusivamente para el proyecto presentado y aprobado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la Fundación Díaz Vélez para tal fin. En ningún caso se podrá ceder a terceros, ni total ni parcialmente dicho financiamiento, ni utilizar los fondos para otro proyecto distinto del presentado y aprobado en esta convocatoria.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Vigencia y modalidad de presentación de los proyectos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presente convocatoria estará vigente hasta agotar el presupuesto preestablecido por FDV para dicho programa.  Los proyectos podrán ser enviados en cualquier momento del año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presentar un proyecto es necesario completar el formulario de postulación online que pueden encontrar disponible en nuestra página web: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www.fundaciondiazvelez.org.ar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Evaluación y aprobación de los proyectos. </w:t>
      </w:r>
      <w:r w:rsidDel="00000000" w:rsidR="00000000" w:rsidRPr="00000000">
        <w:rPr>
          <w:sz w:val="24"/>
          <w:szCs w:val="24"/>
          <w:rtl w:val="0"/>
        </w:rPr>
        <w:t xml:space="preserve">Los proyectos serán evaluados</w:t>
      </w:r>
      <w:r w:rsidDel="00000000" w:rsidR="00000000" w:rsidRPr="00000000">
        <w:rPr>
          <w:sz w:val="24"/>
          <w:szCs w:val="24"/>
          <w:rtl w:val="0"/>
        </w:rPr>
        <w:t xml:space="preserve"> por</w:t>
      </w:r>
      <w:r w:rsidDel="00000000" w:rsidR="00000000" w:rsidRPr="00000000">
        <w:rPr>
          <w:sz w:val="24"/>
          <w:szCs w:val="24"/>
          <w:rtl w:val="0"/>
        </w:rPr>
        <w:t xml:space="preserve"> el Consejo de Administración de la Fundación y asesores externos de la misma. Los resultados serán comunicados vía mail a la mayor brevedad posible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Firma del convenio.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vez que los proyectos sean aprobados, se le comunicará a la </w:t>
      </w:r>
      <w:r w:rsidDel="00000000" w:rsidR="00000000" w:rsidRPr="00000000">
        <w:rPr>
          <w:sz w:val="24"/>
          <w:szCs w:val="24"/>
          <w:rtl w:val="0"/>
        </w:rPr>
        <w:t xml:space="preserve">entidad que lo haya presentado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manera escrita y se firmará un convenio entre </w:t>
      </w:r>
      <w:r w:rsidDel="00000000" w:rsidR="00000000" w:rsidRPr="00000000">
        <w:rPr>
          <w:sz w:val="24"/>
          <w:szCs w:val="24"/>
          <w:rtl w:val="0"/>
        </w:rPr>
        <w:t xml:space="preserve">ésta y la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Fundación. Dicho convenio deberá estar certificado por escribano público o en su defecto por una entidad bancaria o juez de paz.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Desembolso de los fondos</w:t>
      </w:r>
      <w:r w:rsidDel="00000000" w:rsidR="00000000" w:rsidRPr="00000000">
        <w:rPr>
          <w:b w:val="1"/>
          <w:bCs w:val="1"/>
          <w:color w:val="357426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acordará con la entidad solicitante un </w:t>
      </w:r>
      <w:r w:rsidDel="00000000" w:rsidR="00000000" w:rsidRPr="00000000">
        <w:rPr>
          <w:sz w:val="24"/>
          <w:szCs w:val="24"/>
          <w:rtl w:val="0"/>
        </w:rPr>
        <w:t xml:space="preserve">cronograma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ero</w:t>
      </w:r>
      <w:r w:rsidDel="00000000" w:rsidR="00000000" w:rsidRPr="00000000">
        <w:rPr>
          <w:sz w:val="24"/>
          <w:szCs w:val="24"/>
          <w:rtl w:val="0"/>
        </w:rPr>
        <w:t xml:space="preserve">gaciones.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vez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recibido el convenio certificado se procederá a la tra</w:t>
      </w:r>
      <w:r w:rsidDel="00000000" w:rsidR="00000000" w:rsidRPr="00000000">
        <w:rPr>
          <w:sz w:val="24"/>
          <w:szCs w:val="24"/>
          <w:rtl w:val="0"/>
        </w:rPr>
        <w:t xml:space="preserve">nsferencia de los fondos correspondientes. En todos los casos se solicitará un recibo oficial a la  entidad beneficiada por el monto recibido. Tener en cuenta que en todos los casos la Fundación realizará </w:t>
      </w:r>
      <w:r w:rsidDel="00000000" w:rsidR="00000000" w:rsidRPr="00000000">
        <w:rPr>
          <w:sz w:val="24"/>
          <w:szCs w:val="24"/>
          <w:rtl w:val="0"/>
        </w:rPr>
        <w:t xml:space="preserve">el último desembolso </w:t>
      </w:r>
      <w:r w:rsidDel="00000000" w:rsidR="00000000" w:rsidRPr="00000000">
        <w:rPr>
          <w:sz w:val="24"/>
          <w:szCs w:val="24"/>
          <w:rtl w:val="0"/>
        </w:rPr>
        <w:t xml:space="preserve">del total del proyecto cuando reciba el producto terminado</w:t>
      </w:r>
      <w:r w:rsidDel="00000000" w:rsidR="00000000" w:rsidRPr="00000000">
        <w:rPr>
          <w:sz w:val="24"/>
          <w:szCs w:val="24"/>
          <w:rtl w:val="0"/>
        </w:rPr>
        <w:t xml:space="preserve"> adecuado para subir a la página web de la Fundación</w:t>
      </w:r>
      <w:r w:rsidDel="00000000" w:rsidR="00000000" w:rsidRPr="00000000">
        <w:rPr>
          <w:sz w:val="24"/>
          <w:szCs w:val="24"/>
          <w:rtl w:val="0"/>
        </w:rPr>
        <w:t xml:space="preserve"> quedando disponible para el uso a demanda.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Ejecución de los proyectos.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proyectos presentados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podrán superar el </w:t>
      </w:r>
      <w:r w:rsidDel="00000000" w:rsidR="00000000" w:rsidRPr="00000000">
        <w:rPr>
          <w:sz w:val="24"/>
          <w:szCs w:val="24"/>
          <w:rtl w:val="0"/>
        </w:rPr>
        <w:t xml:space="preserve">tiempo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ejecución previsto para los mismos y deberán poder comenzar su ejecución dentro del mes de realizado el desembolso de los fondos. Las</w:t>
      </w:r>
      <w:r w:rsidDel="00000000" w:rsidR="00000000" w:rsidRPr="00000000">
        <w:rPr>
          <w:sz w:val="24"/>
          <w:szCs w:val="24"/>
          <w:rtl w:val="0"/>
        </w:rPr>
        <w:t xml:space="preserve"> instituciones beneficiadas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deberán asegurarse de cumplir con los tiempos acordados. </w:t>
      </w:r>
      <w:r w:rsidDel="00000000" w:rsidR="00000000" w:rsidRPr="00000000">
        <w:rPr>
          <w:sz w:val="24"/>
          <w:szCs w:val="24"/>
          <w:rtl w:val="0"/>
        </w:rPr>
        <w:t xml:space="preserve">Los proyectos que se presenten en esta convocatoria podrán ser desarrollados como máximo hasta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 el material generado en el marco del proyecto presentado en esta convocatoria, deberá incluir el logo de Fundación Díaz Vélez y quedar disponible para ser publicado y difundido</w:t>
      </w:r>
      <w:r w:rsidDel="00000000" w:rsidR="00000000" w:rsidRPr="00000000">
        <w:rPr>
          <w:sz w:val="24"/>
          <w:szCs w:val="24"/>
          <w:rtl w:val="0"/>
        </w:rPr>
        <w:t xml:space="preserve"> por diferentes canales digitales, con la finalidad que los mismos puedan tener un mayor alcance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Rendición</w:t>
      </w:r>
      <w:r w:rsidDel="00000000" w:rsidR="00000000" w:rsidRPr="00000000">
        <w:rPr>
          <w:b w:val="1"/>
          <w:bCs w:val="1"/>
          <w:color w:val="357426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57426"/>
          <w:sz w:val="24"/>
          <w:szCs w:val="24"/>
          <w:u w:val="none"/>
          <w:shd w:fill="auto" w:val="clear"/>
          <w:vertAlign w:val="baseline"/>
          <w:rtl w:val="0"/>
        </w:rPr>
        <w:t xml:space="preserve">de proyecto.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acordará con  la </w:t>
      </w:r>
      <w:r w:rsidDel="00000000" w:rsidR="00000000" w:rsidRPr="00000000">
        <w:rPr>
          <w:sz w:val="24"/>
          <w:szCs w:val="24"/>
          <w:rtl w:val="0"/>
        </w:rPr>
        <w:t xml:space="preserve">entidad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solicitante según las </w:t>
      </w:r>
      <w:r w:rsidDel="00000000" w:rsidR="00000000" w:rsidRPr="00000000">
        <w:rPr>
          <w:sz w:val="24"/>
          <w:szCs w:val="24"/>
          <w:rtl w:val="0"/>
        </w:rPr>
        <w:t xml:space="preserve">características del proyecto. En todos los casos, 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entidad deberá entregar a la Fundación: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Rendición de gastos detallada y copia de las facturas que respaldan los gastos afrontados para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57426"/>
          <w:sz w:val="24"/>
          <w:szCs w:val="24"/>
          <w:vertAlign w:val="baseline"/>
          <w:rtl w:val="0"/>
        </w:rPr>
        <w:t xml:space="preserve">Cantidad de veces que se puede aplicar</w:t>
      </w:r>
      <w:r w:rsidDel="00000000" w:rsidR="00000000" w:rsidRPr="00000000">
        <w:rPr>
          <w:b w:val="1"/>
          <w:bCs w:val="1"/>
          <w:color w:val="357426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Pueden </w:t>
      </w:r>
      <w:r w:rsidDel="00000000" w:rsidR="00000000" w:rsidRPr="00000000">
        <w:rPr>
          <w:sz w:val="24"/>
          <w:szCs w:val="24"/>
          <w:rtl w:val="0"/>
        </w:rPr>
        <w:t xml:space="preserve">presentar 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esta convocatoria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un p</w:t>
      </w:r>
      <w:r w:rsidDel="00000000" w:rsidR="00000000" w:rsidRPr="00000000">
        <w:rPr>
          <w:sz w:val="24"/>
          <w:szCs w:val="24"/>
          <w:rtl w:val="0"/>
        </w:rPr>
        <w:t xml:space="preserve">royecto por institución</w:t>
      </w:r>
      <w:r w:rsidDel="00000000" w:rsidR="00000000" w:rsidRPr="00000000">
        <w:rPr>
          <w:sz w:val="24"/>
          <w:szCs w:val="24"/>
          <w:rtl w:val="0"/>
        </w:rPr>
        <w:t xml:space="preserve">. Las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instituciones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que ya hayan sido financiadas por la Fundación Díaz Vélez anteriormente,  pueden presentar</w:t>
      </w:r>
      <w:r w:rsidDel="00000000" w:rsidR="00000000" w:rsidRPr="00000000">
        <w:rPr>
          <w:sz w:val="24"/>
          <w:szCs w:val="24"/>
          <w:rtl w:val="0"/>
        </w:rPr>
        <w:t xml:space="preserve">se,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siempre y cuando hayan rendido en tiempo y forma el/los anteriores proyectos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No se financiarán proyectos de instituciones que no </w:t>
      </w:r>
      <w:r w:rsidDel="00000000" w:rsidR="00000000" w:rsidRPr="00000000">
        <w:rPr>
          <w:sz w:val="24"/>
          <w:szCs w:val="24"/>
          <w:rtl w:val="0"/>
        </w:rPr>
        <w:t xml:space="preserve">hayan concluido el proyecto anterior ni hayan entregado satisfactoriamente ampliaciones/solicitudes requeridas por la FDV.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más información: </w:t>
      </w:r>
      <w:hyperlink r:id="rId7">
        <w:r w:rsidDel="00000000" w:rsidR="00000000" w:rsidRPr="00000000">
          <w:rPr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www.fundaciondiazvelez.org.ar</w:t>
        </w:r>
      </w:hyperlink>
      <w:r w:rsidDel="00000000" w:rsidR="00000000" w:rsidRPr="00000000">
        <w:fldChar w:fldCharType="begin"/>
        <w:instrText xml:space="preserve"> HYPERLINK "http://www.fundaciondiazvelez.org.ar/"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capacitaciones</w:t>
        </w:r>
      </w:hyperlink>
      <w:hyperlink r:id="rId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@fundaciondiazvelez.org.ar</w:t>
        </w:r>
      </w:hyperlink>
      <w:r w:rsidDel="00000000" w:rsidR="00000000" w:rsidRPr="00000000">
        <w:fldChar w:fldCharType="begin"/>
        <w:instrText xml:space="preserve"> HYPERLINK "mailto:proyectos@fundaciondiazvelez.org.ar"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fldChar w:fldCharType="begin"/>
      <w:instrText xml:space="preserve"> HYPERLINK "mailto:proyectos@fundaciondiazvelez.org.ar"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708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fldChar w:fldCharType="end"/>
    </w:r>
    <w:r w:rsidDel="00000000" w:rsidR="00000000" w:rsidRPr="00000000">
      <w:fldChar w:fldCharType="begin"/>
      <w:instrText xml:space="preserve"> HYPERLINK "mailto:proyectos@fundaciondiazvelez.org.ar" </w:instrText>
      <w:fldChar w:fldCharType="separate"/>
    </w:r>
    <w:r w:rsidDel="00000000" w:rsidR="00000000" w:rsidRPr="00000000">
      <w:rPr>
        <w:rtl w:val="0"/>
      </w:rPr>
    </w:r>
    <w:r w:rsidDel="00000000" w:rsidR="00000000" w:rsidRPr="00000000">
      <w:fldChar w:fldCharType="end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jc w:val="right"/>
      <w:rPr>
        <w:color w:val="1155cc"/>
        <w:u w:val="single"/>
        <w:vertAlign w:val="baseline"/>
      </w:rPr>
    </w:pPr>
    <w:hyperlink r:id="rId1">
      <w:r w:rsidDel="00000000" w:rsidR="00000000" w:rsidRPr="00000000">
        <w:rPr/>
        <w:drawing>
          <wp:inline distB="114300" distT="114300" distL="114300" distR="114300">
            <wp:extent cx="931552" cy="9470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13227" l="14223" r="14338" t="14462"/>
                    <a:stretch>
                      <a:fillRect/>
                    </a:stretch>
                  </pic:blipFill>
                  <pic:spPr>
                    <a:xfrm>
                      <a:off x="0" y="0"/>
                      <a:ext cx="931552" cy="9470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fldChar w:fldCharType="begin"/>
      <w:instrText xml:space="preserve"> HYPERLINK "mailto:proyectos@fundaciondiazvelez.org.ar"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574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574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capacitaciones@fundaciondiazvelez.org.ar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fundaciondiazvelez.org.ar" TargetMode="External"/><Relationship Id="rId7" Type="http://schemas.openxmlformats.org/officeDocument/2006/relationships/hyperlink" Target="http://www.fundaciondiazvelez.org.ar/" TargetMode="External"/><Relationship Id="rId8" Type="http://schemas.openxmlformats.org/officeDocument/2006/relationships/hyperlink" Target="mailto:capacitaciones@fundaciondiazvelez.org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yectos@fundaciondiazvelez.org.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